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6E" w:rsidRPr="00896B6E" w:rsidRDefault="00896B6E" w:rsidP="00896B6E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</w:pPr>
      <w:r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  <w:t>у</w:t>
      </w:r>
      <w:r w:rsidRPr="00896B6E"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  <w:t>точнены полномочия органов местного самоуправления</w:t>
      </w:r>
    </w:p>
    <w:p w:rsidR="00896B6E" w:rsidRDefault="00896B6E" w:rsidP="00896B6E">
      <w:pPr>
        <w:spacing w:after="50" w:line="240" w:lineRule="auto"/>
        <w:jc w:val="both"/>
        <w:rPr>
          <w:rFonts w:ascii="Myriad Pro" w:eastAsia="Times New Roman" w:hAnsi="Myriad Pro" w:cs="Times New Roman"/>
          <w:color w:val="9F9F9F"/>
          <w:sz w:val="12"/>
          <w:szCs w:val="12"/>
        </w:rPr>
      </w:pPr>
    </w:p>
    <w:p w:rsidR="00896B6E" w:rsidRPr="00896B6E" w:rsidRDefault="00896B6E" w:rsidP="00896B6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896B6E">
        <w:rPr>
          <w:rFonts w:ascii="Myriad Pro" w:eastAsia="Times New Roman" w:hAnsi="Myriad Pro" w:cs="Times New Roman"/>
          <w:color w:val="404040"/>
          <w:sz w:val="14"/>
          <w:szCs w:val="14"/>
        </w:rPr>
        <w:t>Федеральным законом от 28 ноября 2015 года № 357-ФЗ внесены изменения в части, касающейся полномочий органов местного самоуправления, в Федеральный закон «Об общих принципах организации местного самоуправления в Российской Федерации», Водный кодекс РФ, Земельный кодекс РФ и ряд других законов (всего в 19 законодательных актов).</w:t>
      </w:r>
    </w:p>
    <w:p w:rsidR="00896B6E" w:rsidRPr="00896B6E" w:rsidRDefault="00896B6E" w:rsidP="00896B6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896B6E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896B6E" w:rsidRPr="00896B6E" w:rsidRDefault="00896B6E" w:rsidP="00896B6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896B6E">
        <w:rPr>
          <w:rFonts w:ascii="Myriad Pro" w:eastAsia="Times New Roman" w:hAnsi="Myriad Pro" w:cs="Times New Roman"/>
          <w:color w:val="404040"/>
          <w:sz w:val="14"/>
          <w:szCs w:val="14"/>
        </w:rPr>
        <w:t>Так, за муниципальными районами закреплены вопросы местного значения в сферах защиты населения от чрезвычайных ситуаций, дорожной деятельности, землепользования, коммунального хозяйства, охраны окружающей среды, природопользования, культуры, решение которых ранее осуществлялось сельскими поселениями. </w:t>
      </w:r>
    </w:p>
    <w:p w:rsidR="00896B6E" w:rsidRPr="00896B6E" w:rsidRDefault="00896B6E" w:rsidP="00896B6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896B6E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896B6E" w:rsidRPr="00896B6E" w:rsidRDefault="00896B6E" w:rsidP="00896B6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896B6E">
        <w:rPr>
          <w:rFonts w:ascii="Myriad Pro" w:eastAsia="Times New Roman" w:hAnsi="Myriad Pro" w:cs="Times New Roman"/>
          <w:color w:val="404040"/>
          <w:sz w:val="14"/>
          <w:szCs w:val="14"/>
        </w:rPr>
        <w:t>Поскольку по сравнению с другими муниципальными образованиями сельские поселения являются наименее обеспеченными, названные изменения позволяют привести объем решаемых ими вопросов местного значения в соответствие с финансовыми и организационными возможностями.</w:t>
      </w:r>
    </w:p>
    <w:p w:rsidR="00896B6E" w:rsidRPr="00896B6E" w:rsidRDefault="00896B6E" w:rsidP="00896B6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896B6E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896B6E" w:rsidRPr="00896B6E" w:rsidRDefault="00896B6E" w:rsidP="00896B6E">
      <w:pPr>
        <w:spacing w:after="10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896B6E">
        <w:rPr>
          <w:rFonts w:ascii="Myriad Pro" w:eastAsia="Times New Roman" w:hAnsi="Myriad Pro" w:cs="Times New Roman"/>
          <w:color w:val="404040"/>
          <w:sz w:val="14"/>
          <w:szCs w:val="14"/>
        </w:rPr>
        <w:t>В целях реализации норм федерального законодательства и обеспечения единого правового пространства прокуратурой республики в адрес прокуроров районного звена направлена соответствующая информация для инициирования вопроса о внесении изменений в уставы муниципальных образований. </w:t>
      </w:r>
    </w:p>
    <w:p w:rsidR="008823E7" w:rsidRDefault="008823E7"/>
    <w:sectPr w:rsidR="0088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896B6E"/>
    <w:rsid w:val="008823E7"/>
    <w:rsid w:val="0089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B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896B6E"/>
  </w:style>
  <w:style w:type="paragraph" w:styleId="a3">
    <w:name w:val="Normal (Web)"/>
    <w:basedOn w:val="a"/>
    <w:uiPriority w:val="99"/>
    <w:semiHidden/>
    <w:unhideWhenUsed/>
    <w:rsid w:val="0089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913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2018-06-13T13:38:00Z</dcterms:created>
  <dcterms:modified xsi:type="dcterms:W3CDTF">2018-06-13T13:39:00Z</dcterms:modified>
</cp:coreProperties>
</file>